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7"/>
        <w:ind w:firstLine="709"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ПРОЕКТ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7"/>
        <w:ind w:firstLine="709"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7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Правила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7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предоставления и распределения субсидий из областного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7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бюджета бюджетам муниципальных образований на модернизацию региональных и (или) муниципальных учреждений 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7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1. Насто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ящие Правила устанавливают порядок предоставления и распределения субсидий из областного бюджета бюджетам муниципальных образований Оренбургской области на модернизацию региональных и (или) муниципальных учреждений культуры (далее – субсидии), в том числе: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модернизацию региональных и муниципальных библиотек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источником финансового обеспечения которых в том числе является средства федерального бюджета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(далее – субсидия 1);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модернизацию региональных и муниципальных детских школ искусств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источником финансового обеспечения которых в том числе является средства федерального бюджета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(далее – субсидия 2);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модернизацию региональных и муниципальных музеев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источником финансового обеспечения которых в том числе является средства федерального бюджета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(далее – субсидия 3);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модернизацию учреждений культурно-досугового типа в населенных пунктах с численностью до 500 тыс. человек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источником финансового обеспечения которых в том числе является средства федерального бюджета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(далее – субсидия 4);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модернизацию муниципальных детских школ искусств путем их капитального ремонта, источником финансового обеспечения которой являются исключительно средства областного бюджета (далее - субсидия 5);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модернизацию учреждений культурно-досугового типа в населенных пунктах с численностью до 500 тыс. человек, источником финансового обеспечения которой являются исключительно средства областного бюджета (далее – субсидия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 Субсидии предоставляются бюджетам муниципальных округов, городских округов, муниципальных районов и сельских поселений Оренбургской области в целях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расходных обязательств муниципальных образований, возникающих при выполнении полномочий при решении следующих вопросов местного значения: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а) муниципального округа, городского округа - создание условий для организации досуга и обеспечения жителей муниципального округа, городского округа услугами организаций культуры;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б) муниципального района - создание условий для обеспечения поселений, входящих в состав муниципального района, услугами по организации досуга и услугами организаций культуры;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в) сельского поселения - создание условий для организации досуга и обеспечения жителей поселения услугами организаций культуры.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г) организация библиотечного обслуживания населения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межпоселенческими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библиотеками, комплектование и обеспечение сохранности их библиотечных фондов;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д) организация библиотечного обслуживания населения, комплектование и обеспечение сохранности библиотечных фондов библиотек муниципального, городского округа;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е) организация библиотечного обслуживания населения, комплектование и обеспечение сохранности библиоте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чных фондов библиотек поселения;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ж) организация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предоставления дополнительного образования детей в муниципальных образовательных организациях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3. Получателями субсидий являются муниципальные округа, городские округа, муниципальные районы и сельские поселения Оренбургской области (далее – муниципальное образование, муниципальные образования).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highlight w:val="white"/>
        </w:rPr>
      </w:r>
      <w:bookmarkStart w:id="0" w:name="P557"/>
      <w:r>
        <w:rPr>
          <w:highlight w:val="white"/>
        </w:rPr>
      </w:r>
      <w:bookmarkEnd w:id="0"/>
      <w:r>
        <w:rPr>
          <w:rFonts w:ascii="Times New Roman" w:hAnsi="Times New Roman" w:cs="Times New Roman"/>
          <w:sz w:val="28"/>
          <w:szCs w:val="28"/>
          <w:highlight w:val="white"/>
        </w:rPr>
        <w:t xml:space="preserve">4. Субсидии предоставляются муниципальным образованиям в рамках 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еализации регионального проекта «Семейные ценности и инфраструктура культуры», обеспечивающего достижение целей, показателей и результатов федерального проекта «Семейные ценности и инфраструктура культуры», входящего в состав национального проекта «Семья».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1 предоставляется в целях модернизации региональных и муниципальных библиотек путем проведения капитального ремонта зданий.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2 предоставляется в целях модернизации региональных и муниципальных детских школ искусств путем проведения капитального ремонта зданий.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3 предоставляется в целях модернизации региональных и муниципальных музеев путем проведения капитального ремонта зданий.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предоставляется в целях модернизации учреждений культурно-досугового типа в населенных пунктах с численностью до 500 тыс. человек путем проведения капитального ремонта зданий.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5 предоставляется в целях достижения результата предоставления субсидии 2 при условии увеличения сметной стоимости капитального ремонта объекта муниципальной собственности.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предоставляется в целях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достижения результата субсидии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при условии увеличения сметной стоимости капитального ремонта объекта муниципальной собственности по результатам государственной экспертизы проектно-сметной документации и результатов инженерных изысканий и (или) изменения проектной мощности.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5. Главным распорядителем средств областного бюджета, до которого как до получателя бюджетных средств в соответствии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 бюджетным законодательством доведены в установленном порядке бюджетные ассигнования (лимиты бюджетных обязательств) на предоставление субсидий на очередной финансовый год и на плановый период, является министерство культуры Оренбургской области (далее -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6. Субсидии предоставляются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результатам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конкурсного отбора муниципальных образований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(далее - конкурсный отбор), проводимого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с учетом сроков,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установленных Министерством культуры Российской Федерации,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соблюдении следующих условий: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а) наличие муниципальн</w:t>
      </w:r>
      <w:bookmarkStart w:id="1" w:name="_GoBack"/>
      <w:r>
        <w:rPr>
          <w:highlight w:val="white"/>
        </w:rPr>
      </w:r>
      <w:bookmarkEnd w:id="1"/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ой программы, предусматривающей проведение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мероприятий, на исполнение которых предоставляется субсидия;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б) наличие правового акта, устанавливающего расходное обязательство муниципального образования, на исполнение которого предоставляется субсидия;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в) наличие соглашения: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 предоставлении из областного бюджета бюджету муниципального образования субсидии 1,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2, 3, 4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заключенного в форме электронно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 документа с использованием государственной интегрированной информационной системы управления общественными финансами «Электронный бюджет» с учетом требований типовой формы, утвержденной Министерством финансов Российской Федерации (далее – соглашение 1);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 предоставлении из областного бюджета бюджету муниц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ипального образования субсидии 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заключенного 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форме электронного документа с использованием государственной информационной системы «Региональный электронный бюджет Оренбургской области» с учетом требований типовой формы, утвержденной министерством финансов Оренбургской области (далее – соглашение 2).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7. Субсидии не могут быть использованы на благоустройство территории, подключение к инженерным сетям, а также корректировку проектно-сметной документации.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8.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Для участия в конкурсном отборе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для предоставления субсидии 1, 2, 3, 4 муниципальные образования представляют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заявки и необходимые документы в порядке, сроки и по форме, установленные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33"/>
        <w:ind w:firstLine="540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   9. Критериями конкурсного отбора для субсидии 1 являются: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а) </w:t>
      </w:r>
      <w:r>
        <w:rPr>
          <w:sz w:val="28"/>
          <w:highlight w:val="white"/>
        </w:rPr>
        <w:t xml:space="preserve">наличие положител</w:t>
      </w:r>
      <w:r>
        <w:rPr>
          <w:sz w:val="28"/>
          <w:highlight w:val="white"/>
        </w:rPr>
        <w:t xml:space="preserve">ьного заключения о достоверности определения сметной стоимости капитального ремонта объекта муниципальной собственности или договора о проведении проверки достоверности определения сметной стоимости капитального ремонта объекта муниципальной собственности;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б) </w:t>
      </w:r>
      <w:r>
        <w:rPr>
          <w:sz w:val="28"/>
          <w:highlight w:val="white"/>
        </w:rPr>
        <w:t xml:space="preserve">наличие документа, подтверждающего право собственности или право использования на объект, подлежащий реконструкции, капитальному ремонту.</w:t>
      </w:r>
      <w:r>
        <w:rPr>
          <w:sz w:val="28"/>
          <w:highlight w:val="white"/>
        </w:rPr>
      </w:r>
    </w:p>
    <w:p>
      <w:pPr>
        <w:pStyle w:val="933"/>
        <w:ind w:firstLine="540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10. Критериями конкурсного отбора для субсидии 2 являются: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а) заявка</w:t>
      </w:r>
      <w:r>
        <w:rPr>
          <w:sz w:val="28"/>
          <w:highlight w:val="white"/>
        </w:rPr>
        <w:t xml:space="preserve"> на участие в отборе;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б) смета</w:t>
      </w:r>
      <w:r>
        <w:rPr>
          <w:sz w:val="28"/>
          <w:highlight w:val="white"/>
        </w:rPr>
        <w:t xml:space="preserve"> на капитальный ремонт ДШИ, имеющей положительное заключение государственной экспертизы о достоверности сметной стоимости;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в) письменное обоснование</w:t>
      </w:r>
      <w:r>
        <w:rPr>
          <w:sz w:val="28"/>
          <w:highlight w:val="white"/>
        </w:rPr>
        <w:t xml:space="preserve"> о необходимости проведения капитального ремонта;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г) муниципальн</w:t>
      </w:r>
      <w:r>
        <w:rPr>
          <w:sz w:val="28"/>
          <w:highlight w:val="white"/>
        </w:rPr>
        <w:t xml:space="preserve">ая программа или письменное</w:t>
      </w:r>
      <w:r>
        <w:rPr>
          <w:sz w:val="28"/>
          <w:highlight w:val="white"/>
        </w:rPr>
        <w:t xml:space="preserve"> обязательств</w:t>
      </w:r>
      <w:r>
        <w:rPr>
          <w:sz w:val="28"/>
          <w:highlight w:val="white"/>
        </w:rPr>
        <w:t xml:space="preserve">о</w:t>
      </w:r>
      <w:r>
        <w:rPr>
          <w:sz w:val="28"/>
          <w:highlight w:val="white"/>
        </w:rPr>
        <w:t xml:space="preserve"> о включении в муниципальную программу мероприятия по модернизации муниципальных детских школ искусств путем их капитального ремонта;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д) письменное обязательство</w:t>
      </w:r>
      <w:r>
        <w:rPr>
          <w:sz w:val="28"/>
          <w:highlight w:val="white"/>
        </w:rPr>
        <w:t xml:space="preserve"> по </w:t>
      </w:r>
      <w:r>
        <w:rPr>
          <w:sz w:val="28"/>
          <w:highlight w:val="white"/>
        </w:rPr>
        <w:t xml:space="preserve">софинансированию</w:t>
      </w:r>
      <w:r>
        <w:rPr>
          <w:sz w:val="28"/>
          <w:highlight w:val="white"/>
        </w:rPr>
        <w:t xml:space="preserve"> мероприятия по модернизации муниципальных детских школ искусств путем их капитального ремонта за счет средств бюджета муниципального образования в объеме не менее установленного уровня </w:t>
      </w:r>
      <w:r>
        <w:rPr>
          <w:sz w:val="28"/>
          <w:highlight w:val="white"/>
        </w:rPr>
        <w:t xml:space="preserve">софинансирования</w:t>
      </w:r>
      <w:r>
        <w:rPr>
          <w:sz w:val="28"/>
          <w:highlight w:val="white"/>
        </w:rPr>
        <w:t xml:space="preserve">.</w:t>
      </w:r>
      <w:r>
        <w:rPr>
          <w:sz w:val="28"/>
          <w:highlight w:val="white"/>
        </w:rPr>
      </w:r>
    </w:p>
    <w:p>
      <w:pPr>
        <w:pStyle w:val="933"/>
        <w:ind w:firstLine="540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11. Критериями конкурсного отбора для субсидии 3 являются: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а) наличие положительного заключения о достоверности определения сметной стоимости капитального ремонта объекта муниципальной собственности </w:t>
      </w:r>
      <w:r>
        <w:rPr>
          <w:sz w:val="28"/>
          <w:highlight w:val="white"/>
        </w:rPr>
        <w:t xml:space="preserve">или договора о проведении проверки достоверности определения сметной стоимости капитального ремонта объекта муниципальной собственности;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б) наличие документа, подтверждающего право собственности или право использования на объект, подлежащий реконструкции, капитальному ремонту.</w:t>
      </w:r>
      <w:r>
        <w:rPr>
          <w:sz w:val="28"/>
          <w:highlight w:val="white"/>
        </w:rPr>
      </w:r>
    </w:p>
    <w:p>
      <w:pPr>
        <w:pStyle w:val="933"/>
        <w:ind w:firstLine="540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12. Критериями конкурсного отбора для субсидии 4 являются:</w:t>
      </w:r>
      <w:r>
        <w:rPr>
          <w:sz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наличие заявки муниципального образования об участии в конкурсном отборе на предоставление субсидии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наличие положител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ьного заключения о достоверности определения сметной стоимости капитального ремонта объекта муниципальной собственности или договора о проведении проверки достоверности определения сметной стоимости капитального ремонта объекта муниципальной собственности;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наличие документа, подтверждающего право собственности на имущество учреждения культурно-досуговой деятельности.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Минкультуры формирует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свод заявок, представленных муниципальными образованиями, и прошедшими конкурсный отбор, и направляет его в Министерство культуры Российской Федерации вместе с заявкой на участие в отборе в сроки, установленные Министерством культуры Российской Федерации.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Победителями конкурсного отбора являются муниципальные образования, прошедшие конкурсный отбор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 отобранные Министерством культуры Российской Федерации.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Субсидии предоставляются муниципальным образованиям, являющимися победителями конкурсного отбора в соответствии с пунктом 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настоящих Правил.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16. Объем субсидии 1 рассчитывается по формуле: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= Si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x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где: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субсидии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бюджету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из областного бюджета на очередной финансовый год и плановый период;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Si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потребности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в средствах на модернизацию региональных и муниципальных библиотек путем проведения капитального ремонта на очередной финансовый год и плановый период;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предельный уровень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бласти от 30 августа 2022 года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942-пп "О предельном уровне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Оренбургской области", в порядке, определенном постановлением Правительства Оренбургско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й области от 20 июня 2016 года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430-п "Об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области" (далее - постановление Правительства Орен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бургской области от 20.06.2016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430-п).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17. Объем субсидии 2 рассчитывается по формуле: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33"/>
        <w:jc w:val="center"/>
        <w:spacing w:before="0" w:beforeAutospacing="0" w:after="0" w:afterAutospacing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C</w:t>
      </w:r>
      <w:r>
        <w:rPr>
          <w:sz w:val="28"/>
          <w:szCs w:val="28"/>
          <w:highlight w:val="white"/>
          <w:vertAlign w:val="subscript"/>
        </w:rPr>
        <w:t xml:space="preserve">i2</w:t>
      </w:r>
      <w:r>
        <w:rPr>
          <w:sz w:val="28"/>
          <w:szCs w:val="28"/>
          <w:highlight w:val="white"/>
        </w:rPr>
        <w:t xml:space="preserve"> = CC</w:t>
      </w:r>
      <w:r>
        <w:rPr>
          <w:sz w:val="28"/>
          <w:szCs w:val="28"/>
          <w:highlight w:val="white"/>
          <w:vertAlign w:val="subscript"/>
        </w:rPr>
        <w:t xml:space="preserve">i2</w:t>
      </w:r>
      <w:r>
        <w:rPr>
          <w:sz w:val="28"/>
          <w:szCs w:val="28"/>
          <w:highlight w:val="white"/>
        </w:rPr>
        <w:t xml:space="preserve"> x </w:t>
      </w:r>
      <w:r>
        <w:rPr>
          <w:sz w:val="28"/>
          <w:szCs w:val="28"/>
          <w:highlight w:val="white"/>
        </w:rPr>
        <w:t xml:space="preserve">ПСФ</w:t>
      </w:r>
      <w:r>
        <w:rPr>
          <w:sz w:val="28"/>
          <w:szCs w:val="28"/>
          <w:highlight w:val="white"/>
          <w:vertAlign w:val="subscript"/>
        </w:rPr>
        <w:t xml:space="preserve">i</w:t>
      </w:r>
      <w:r>
        <w:rPr>
          <w:sz w:val="28"/>
          <w:szCs w:val="28"/>
          <w:highlight w:val="white"/>
        </w:rPr>
        <w:t xml:space="preserve">, где:</w:t>
      </w:r>
      <w:r>
        <w:rPr>
          <w:sz w:val="28"/>
          <w:szCs w:val="28"/>
          <w:highlight w:val="white"/>
        </w:rPr>
      </w:r>
    </w:p>
    <w:p>
      <w:pPr>
        <w:pStyle w:val="933"/>
        <w:jc w:val="both"/>
        <w:spacing w:before="0" w:beforeAutospacing="0" w:after="0" w:afterAutospacing="0" w:line="288" w:lineRule="atLeast"/>
        <w:rPr>
          <w:highlight w:val="white"/>
        </w:rPr>
      </w:pPr>
      <w:r>
        <w:rPr>
          <w:highlight w:val="white"/>
        </w:rPr>
        <w:t xml:space="preserve">  </w:t>
      </w:r>
      <w:r>
        <w:rPr>
          <w:highlight w:val="white"/>
        </w:rPr>
      </w:r>
    </w:p>
    <w:p>
      <w:pPr>
        <w:pStyle w:val="933"/>
        <w:ind w:firstLine="540"/>
        <w:jc w:val="both"/>
        <w:spacing w:before="0" w:beforeAutospacing="0" w:after="0" w:afterAutospacing="0" w:line="288" w:lineRule="atLeas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C</w:t>
      </w:r>
      <w:r>
        <w:rPr>
          <w:sz w:val="28"/>
          <w:szCs w:val="28"/>
          <w:highlight w:val="white"/>
          <w:vertAlign w:val="subscript"/>
        </w:rPr>
        <w:t xml:space="preserve">i2</w:t>
      </w:r>
      <w:r>
        <w:rPr>
          <w:sz w:val="28"/>
          <w:szCs w:val="28"/>
          <w:highlight w:val="white"/>
        </w:rPr>
        <w:t xml:space="preserve"> - объем субсиди</w:t>
      </w:r>
      <w:r>
        <w:rPr>
          <w:sz w:val="28"/>
          <w:szCs w:val="28"/>
          <w:highlight w:val="white"/>
        </w:rPr>
        <w:t xml:space="preserve">и 2</w:t>
      </w:r>
      <w:r>
        <w:rPr>
          <w:sz w:val="28"/>
          <w:szCs w:val="28"/>
          <w:highlight w:val="white"/>
        </w:rPr>
        <w:t xml:space="preserve"> i-</w:t>
      </w:r>
      <w:r>
        <w:rPr>
          <w:sz w:val="28"/>
          <w:szCs w:val="28"/>
          <w:highlight w:val="white"/>
        </w:rPr>
        <w:t xml:space="preserve">му</w:t>
      </w:r>
      <w:r>
        <w:rPr>
          <w:sz w:val="28"/>
          <w:szCs w:val="28"/>
          <w:highlight w:val="white"/>
        </w:rPr>
        <w:t xml:space="preserve"> муниципальному образованию из областного бюджета, источником финансового обеспечения которой в том числе являются средства федерального бюджета, в соответствующем финансовом году; </w:t>
      </w:r>
      <w:r>
        <w:rPr>
          <w:sz w:val="28"/>
          <w:szCs w:val="28"/>
          <w:highlight w:val="white"/>
        </w:rPr>
      </w:r>
    </w:p>
    <w:p>
      <w:pPr>
        <w:pStyle w:val="933"/>
        <w:ind w:firstLine="540"/>
        <w:jc w:val="both"/>
        <w:spacing w:before="168" w:beforeAutospacing="0" w:after="0" w:afterAutospacing="0" w:line="288" w:lineRule="atLeast"/>
        <w:rPr>
          <w:sz w:val="28"/>
          <w:highlight w:val="white"/>
        </w:rPr>
      </w:pPr>
      <w:r>
        <w:rPr>
          <w:sz w:val="28"/>
          <w:szCs w:val="28"/>
          <w:highlight w:val="white"/>
        </w:rPr>
        <w:t xml:space="preserve">CC</w:t>
      </w:r>
      <w:r>
        <w:rPr>
          <w:sz w:val="28"/>
          <w:szCs w:val="28"/>
          <w:highlight w:val="white"/>
          <w:vertAlign w:val="subscript"/>
        </w:rPr>
        <w:t xml:space="preserve">i2</w:t>
      </w:r>
      <w:r>
        <w:rPr>
          <w:sz w:val="28"/>
          <w:highlight w:val="white"/>
        </w:rPr>
        <w:t xml:space="preserve"> - стоимость работ по модернизации муниципальных детских школ искусств путем капитального ремонта i-</w:t>
      </w:r>
      <w:r>
        <w:rPr>
          <w:sz w:val="28"/>
          <w:highlight w:val="white"/>
        </w:rPr>
        <w:t xml:space="preserve">го</w:t>
      </w:r>
      <w:r>
        <w:rPr>
          <w:sz w:val="28"/>
          <w:highlight w:val="white"/>
        </w:rPr>
        <w:t xml:space="preserve"> муниципального образования в соответствии со сметой; </w:t>
      </w:r>
      <w:r>
        <w:rPr>
          <w:sz w:val="28"/>
          <w:highlight w:val="white"/>
        </w:rPr>
      </w:r>
    </w:p>
    <w:p>
      <w:pPr>
        <w:pStyle w:val="933"/>
        <w:ind w:firstLine="540"/>
        <w:jc w:val="both"/>
        <w:spacing w:before="168" w:beforeAutospacing="0" w:after="0" w:afterAutospacing="0" w:line="288" w:lineRule="atLeast"/>
        <w:rPr>
          <w:sz w:val="28"/>
          <w:highlight w:val="white"/>
        </w:rPr>
      </w:pPr>
      <w:r>
        <w:rPr>
          <w:sz w:val="28"/>
          <w:highlight w:val="white"/>
        </w:rPr>
        <w:t xml:space="preserve">ПСФ</w:t>
      </w:r>
      <w:r>
        <w:rPr>
          <w:sz w:val="18"/>
          <w:szCs w:val="16"/>
          <w:highlight w:val="white"/>
          <w:vertAlign w:val="subscript"/>
        </w:rPr>
        <w:t xml:space="preserve">i</w:t>
      </w:r>
      <w:r>
        <w:rPr>
          <w:sz w:val="28"/>
          <w:highlight w:val="white"/>
        </w:rPr>
        <w:t xml:space="preserve"> - предельный уровень </w:t>
      </w:r>
      <w:r>
        <w:rPr>
          <w:sz w:val="28"/>
          <w:highlight w:val="white"/>
        </w:rPr>
        <w:t xml:space="preserve">софинансирования</w:t>
      </w:r>
      <w:r>
        <w:rPr>
          <w:sz w:val="28"/>
          <w:highlight w:val="white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</w:t>
      </w:r>
      <w:r>
        <w:rPr>
          <w:sz w:val="28"/>
          <w:highlight w:val="white"/>
        </w:rPr>
        <w:t xml:space="preserve">бласти от 30 августа 2022 года №</w:t>
      </w:r>
      <w:r>
        <w:rPr>
          <w:sz w:val="28"/>
          <w:highlight w:val="white"/>
        </w:rPr>
        <w:t xml:space="preserve"> 942-пп "О предельном уровне </w:t>
      </w:r>
      <w:r>
        <w:rPr>
          <w:sz w:val="28"/>
          <w:highlight w:val="white"/>
        </w:rPr>
        <w:t xml:space="preserve">софинансирования</w:t>
      </w:r>
      <w:r>
        <w:rPr>
          <w:sz w:val="28"/>
          <w:highlight w:val="white"/>
        </w:rPr>
        <w:t xml:space="preserve"> расходного обязательства муниципального образования Оренбургской области", в порядке, определенном постановлением Правительства Оренбургско</w:t>
      </w:r>
      <w:r>
        <w:rPr>
          <w:sz w:val="28"/>
          <w:highlight w:val="white"/>
        </w:rPr>
        <w:t xml:space="preserve">й области от 20 июня 2016 года №</w:t>
      </w:r>
      <w:r>
        <w:rPr>
          <w:sz w:val="28"/>
          <w:highlight w:val="white"/>
        </w:rPr>
        <w:t xml:space="preserve"> 430-п "Об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области" (далее - постановление Правительства Орен</w:t>
      </w:r>
      <w:r>
        <w:rPr>
          <w:sz w:val="28"/>
          <w:highlight w:val="white"/>
        </w:rPr>
        <w:t xml:space="preserve">бургской области от 20.06.2016 №</w:t>
      </w:r>
      <w:r>
        <w:rPr>
          <w:sz w:val="28"/>
          <w:highlight w:val="white"/>
        </w:rPr>
        <w:t xml:space="preserve"> 430-п). </w:t>
      </w:r>
      <w:r>
        <w:rPr>
          <w:sz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18. Субсидия 5 предоставляется муниципальным образованиям, прошедшим отбор и 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аключившим соглашение 1, в случае увеличения в текущем финансовом году сметной стоимости модернизации муниципальных детских школ искусств путем их капитального ремонта объекта муниципальной собственности и представления в министерство следующих документов: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а) сметы на модернизацию муниципальных детских школ искусств путем их капитального ремонта (с учетом изменений сметной стоимости);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б) положительного заключения государственной экспертизы о достоверности сметной стоимости либо договора на проведение государственной экспертизы сметной стоимости мо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дернизации муниципальных детских школ искусств путем их капитального ремонта с приложением письменного обязательства муниципального образования об обеспечении получения положительного заключения государственной экспертизы о достоверности сметной стоимости.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19. Объем субсидии 5 рассчитывается по формуле: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Ci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= CCi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x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где: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Ci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субсидии 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бюджету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на текущий год;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CCi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потребности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на поддержку отрасли культуры на модернизацию муниципальных детских школ искусств путем их капитального ремонта в связи с уточнением сметной стоимости объекта муниципальной собственности;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предельный уровень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бласти от 30 августа 2022 года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942-пп "О предельном уровне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муниципального образования Оренбургской области", в порядке, определенном постановлением Правительства Оренбургской области от 20 июня 2016 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430-п "Об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области" (далее - постановление Правительства Оренбургской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области от 20.06.2016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430-п).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20. Объем субсидии 3 рассчитывается по формуле: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= Si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x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где: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субсидии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бюджету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из областного бюджета на очередной финансовый год и плановый период;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Si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потребности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в средствах на модернизацию муниципальных музеев путем проведения капитального ремонта на очередной финансовый год и плановый период;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предельный уровень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области от 30 августа 2022 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942-пп "О предельном уровне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Оренбургской области", в порядке, определенном постановлением Правительства Оренбургско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й области от 20 июня 2016 года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430-п "Об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области" (далее - постановление Правительства Орен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бургской области от 20.06.2016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430-п).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21. Объем субсидии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рассчитывается по формуле: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= Si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x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где: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субсидии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бюджету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из областного бюджета на очередной финансовый год и на плановый период;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Si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потребности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на модернизацию учреждений культурно-досугового типа в населенных пунктах с численностью до 500 тыс. человек, предусмотренный в заявке, представленной муниципальным образованием в Министерство культуры Российской Федерации;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предельный уровень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бласти от 30 августа 2022 года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942-пп «О предельном уровне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Оренбургской области», в порядке, определенном постановлением Правительства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Оренбургской области от 20 июня 2016 года № 430-п «Об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области» (далее – постановление Правительства Оренбургской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области от 20.06.2016 № 430-п).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22. Субсидия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предоставляется муниципальным образованиям, прошедшим отбор в Министерстве культуры Российской Федерации и заключившим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соглашение 1, при условии увеличения сметной стоимости капитального ремонта объекта муниципальной собственности по результатам государственной экспертизы проектно-сметной документации и результатов инженерных изысканий и (или) изменения проектной мощности.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23. Объем субсидии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рассчитывается по формуле: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Ci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=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CCi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x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где: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Ci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субсидии бюджету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на текущий год;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CCi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потребности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на модернизацию учреждений культурно-досугового типа в населенных пунктах с численностью до 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00 тыс. человек в связи с уточнением сметной стоимости капитального ремонта объекта муниципальной собственности по результатам государственной экспертизы проектно-сметной документации и результатов инженерных изысканий и (или) изменения проектной мощности;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предельный уровень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области от 30 августа 2022 года № 942-пп «О предельном уровне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Оренбургской области», в порядке, определенном постановлением Правительства Оренбургской области от 20 июня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2016 года № 430-п «Об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области» (далее – постановление Правительства Оренбургской области от 20.06.2016 № 430-п).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24. Муниципальные образования определяют объемы финансовых средств, направляемых из местных бюджетов на финансирование мероприятий, предусмотренных пунктом 4 настоящих Правил, с учетом установленного уровня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областного бюджета.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Объем бюджетных ассигнований, предусмотренных в бюджете муниципального образования на финансовое обеспечение расходного обязательства, в целях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которого предоставляются субсидии, может быть увеличен в одностороннем порядке муниципальным образованием, что не влечет обязательств по увеличению размера субсидии из областного бюджета.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Распределение субсидии 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2, 3,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 между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бюджетами муниципальных образований осуществляется на очередной финансовый год и утверждается законом Оренбургской области об областном бюджете на соответствующий финансовый год.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пределение субсидии 5,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Изменение расп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ределения субсидий между муниципальными образованиями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27. В случае выделения в текущем году дополнительного объема бюджетных ассигнований на предоставление субсидий распределение дополнительного объема (изменение распределения) субсидий между муниципальными образования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период, в случае если это предусмотрено указанным законом.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 целях заключения соглашений 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2 муниципальным образованием представляется выписка из решения о бюджете муниципального обра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зования (сводной бюджетной росписи расходов муниципального образования), подтверждающая наличие в местном бюджете средств на финансирование мероприятий, предусмотренных пунктом 4 настоящих Правил, в объеме, достаточном для соблюдения установленного уровня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областного бюджета.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Соглашения 1, 2 заключаются на срок, который не может быть менее срока, на который в установленном порядке утверждено распределение субсидии между муниципальными образованиями.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Внесение изменений в соглашения 1, 2 осуществляется в соответствии с требованиями постановления Правительства Оренбургской области от 20.06.2016 № 430-п.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Перечисление субсидий осуществляется на основании соглашений 1, 2 и настоящих Правил территориальным органом Федерального казначейства в соответствии с переданны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 ему полномочиями получателя средств областного бюджета по перечислению субсидии в порядке, установленном Федеральным казначейством, после проведения санкционирования оплаты денежных обязательств по расходам получателей средств местного бюджета, в целях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которых предоставляется субсидия, в пределах лимитов бюджетных обязательств.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Результат использования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субсидий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1 – «Проведена модернизация региональных и муниципальных библиотек»;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2 – «Проведена модернизация региональных и муниципальных детских школ искусств»;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3 – «Проведена модернизация музеев, находящихся в региональной и муниципальной собственности»;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– «Проведена модернизация учреждений культурно-досугового типа в населенных пунктах с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численностью до 500 тыс. чел.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33"/>
        <w:ind w:firstLine="540"/>
        <w:jc w:val="both"/>
        <w:spacing w:before="0" w:beforeAutospacing="0" w:after="0" w:afterAutospacing="0" w:line="288" w:lineRule="atLeast"/>
        <w:rPr>
          <w:sz w:val="28"/>
          <w:highlight w:val="white"/>
        </w:rPr>
      </w:pPr>
      <w:r>
        <w:rPr>
          <w:sz w:val="28"/>
          <w:szCs w:val="28"/>
          <w:highlight w:val="white"/>
        </w:rPr>
        <w:t xml:space="preserve">  </w:t>
      </w:r>
      <w:r>
        <w:rPr>
          <w:sz w:val="28"/>
          <w:szCs w:val="28"/>
          <w:highlight w:val="white"/>
        </w:rPr>
        <w:t xml:space="preserve">субсидия 5 - </w:t>
      </w:r>
      <w:r>
        <w:rPr>
          <w:highlight w:val="white"/>
        </w:rPr>
        <w:t xml:space="preserve"> </w:t>
      </w:r>
      <w:r>
        <w:rPr>
          <w:sz w:val="28"/>
          <w:highlight w:val="white"/>
        </w:rPr>
        <w:t xml:space="preserve">"Реализованы мероприятия по завершению строительства и модернизации муниципальных детских школ искусств"</w:t>
      </w:r>
      <w:r>
        <w:rPr>
          <w:sz w:val="28"/>
          <w:highlight w:val="white"/>
        </w:rPr>
        <w:t xml:space="preserve">;</w:t>
      </w:r>
      <w:r>
        <w:rPr>
          <w:sz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– «Реализованы мероприятия по завершению модернизации учреждений культурно-досугового типа в населенных пунктах с численностью до 500 тыс. человек».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Значение результатов использования субсидий устанавливается соглашениями 1, 2.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Оценка эффективности использования муниципальным образованием субсидий осуществляется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ежегодно в соответствии с постановлением Правительства Оренбургской области от 28 апреля 2011 года № 279-п «Об утверждении порядка разработки, реализации и оценки эффективности 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сударственных программ Оренбургской области» на основании отчетов муниципальных образований о достижении значений результата использования субсидии путем сравнения фактически достигнутых результатов с плановыми значениями, установленными соглашениями 1, 2.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Использование предоставленных субсидий считается эффективным, если фактически достигнутые значения равны плановым значениям, установленным соглашениями 1, 2.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Муниципальные образования представляют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 порядке и в сроки, установленные соглашениями 1, 2, следующие отчеты: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 осуществлении расходов бюджета муниципального образования, в целях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которых предоставляется субсидия;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 достижении значения результата использования субсидии.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highlight w:val="white"/>
        </w:rPr>
      </w:r>
      <w:bookmarkStart w:id="2" w:name="P609"/>
      <w:r>
        <w:rPr>
          <w:highlight w:val="white"/>
        </w:rPr>
      </w:r>
      <w:bookmarkEnd w:id="2"/>
      <w:r>
        <w:rPr>
          <w:rFonts w:ascii="Times New Roman" w:hAnsi="Times New Roman" w:cs="Times New Roman"/>
          <w:sz w:val="28"/>
          <w:szCs w:val="28"/>
          <w:highlight w:val="white"/>
        </w:rPr>
        <w:t xml:space="preserve">33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Контроль за соблюдением муниципальными образованиями условий и порядка предоставления субсидий осуществляется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 органами финансового контроля в соответствии с установленными полномочиями.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highlight w:val="white"/>
        </w:rPr>
      </w:r>
      <w:bookmarkStart w:id="3" w:name="P610"/>
      <w:r>
        <w:rPr>
          <w:highlight w:val="white"/>
        </w:rPr>
      </w:r>
      <w:bookmarkEnd w:id="3"/>
      <w:r>
        <w:rPr>
          <w:rFonts w:ascii="Times New Roman" w:hAnsi="Times New Roman" w:cs="Times New Roman"/>
          <w:sz w:val="28"/>
          <w:szCs w:val="28"/>
          <w:highlight w:val="white"/>
        </w:rPr>
        <w:t xml:space="preserve">34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Не использованные на 1 января очередного финансового года остатки средств субсидий подлежат возврату в областной бюджет в соответствии с требованиями, установленными Бюджетным кодексом Российской Федерации.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В случае если муниципальным образованием по состоянию на 31-е декабря года предоставления субсидий допущены нарушения условий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не достигнуто значение резул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ьтата использования субсидии, установленного соглашениями 1, 2, муниципальное образование обязано осуществить возврат средств в областной бюджет в порядке и сроки, которые установлены постановлением Правительства Оренбургской области от 20.06.2016 № 430-п.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В случае если муниципальным образованием обязанность по возврату средств в об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ластной бюджет вследствие неисполнения обязательств по соглашениям 1, 2 о предоставлении субсидии не исполнена (частично исполнена) и основание для освобождения от применения мер ответственности, предусмотренных постановлением Правительства Оренбургской об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ласти от 20.06.2016 № 430-п, отсутствует, субсидии на те же цели в очередном финансовом году такому муниципальному образованию не предоставляются до момента исполнения муниципальным образованием обязанности по возврату указанных средств в областной бюджет.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В случае несоблюдения условий и порядка предоставления субсидий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Средства, указанные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пункте 34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настоящих Правил, подлежат возврату в областной бюджет на счет 03100 «Средства поступлений, являющихся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источниками формирования доходов бюджетов бюджетной системы Российской Федерации».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В случае невозврата получателем средств, указанных в пунктах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34, 35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настоящих Правил, в установленный срок их взыскание осуществляется в соответствии с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40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Ответственность за достоверность информации, содержащейся в документах, представляемых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муниципальными образованиями в соответствии с настоящими Правилами, возлагается на органы местного самоуправления муниципальных образований.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  <w:highlight w:val="whit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  <w:highlight w:val="whit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  <w:highlight w:val="whit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sectPr>
      <w:headerReference w:type="default" r:id="rId9"/>
      <w:headerReference w:type="first" r:id="rId10"/>
      <w:footerReference w:type="default" r:id="rId11"/>
      <w:footnotePr/>
      <w:endnotePr/>
      <w:type w:val="nextPage"/>
      <w:pgSz w:w="11907" w:h="16840" w:orient="portrait"/>
      <w:pgMar w:top="567" w:right="851" w:bottom="851" w:left="1134" w:header="397" w:footer="39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  <w:rPr>
        <w:rStyle w:val="918"/>
      </w:rPr>
      <w:framePr w:wrap="auto" w:vAnchor="text" w:hAnchor="margin" w:xAlign="right" w:y="1"/>
    </w:pPr>
    <w:r>
      <w:rPr>
        <w:rStyle w:val="918"/>
      </w:rPr>
      <w:t xml:space="preserve"> </w:t>
    </w:r>
    <w:r>
      <w:rPr>
        <w:rStyle w:val="918"/>
      </w:rPr>
    </w:r>
  </w:p>
  <w:p>
    <w:pPr>
      <w:pStyle w:val="91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69971125"/>
      <w:docPartObj>
        <w:docPartGallery w:val="Page Numbers (Top of Page)"/>
        <w:docPartUnique w:val="true"/>
      </w:docPartObj>
      <w:rPr/>
    </w:sdtPr>
    <w:sdtContent>
      <w:p>
        <w:pPr>
          <w:pStyle w:val="9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10</w:t>
        </w:r>
        <w:r>
          <w:fldChar w:fldCharType="end"/>
        </w:r>
        <w:r/>
      </w:p>
    </w:sdtContent>
  </w:sdt>
  <w:p>
    <w:pPr>
      <w:pStyle w:val="91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jc w:val="center"/>
    </w:pPr>
    <w:r/>
    <w:r/>
  </w:p>
  <w:p>
    <w:pPr>
      <w:pStyle w:val="91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881" w:hanging="52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89" w:hanging="4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1" w:default="1">
    <w:name w:val="Normal"/>
    <w:qFormat/>
  </w:style>
  <w:style w:type="paragraph" w:styleId="722">
    <w:name w:val="Heading 1"/>
    <w:basedOn w:val="721"/>
    <w:next w:val="721"/>
    <w:link w:val="75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3">
    <w:name w:val="Heading 2"/>
    <w:basedOn w:val="721"/>
    <w:next w:val="721"/>
    <w:link w:val="7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4">
    <w:name w:val="Heading 3"/>
    <w:basedOn w:val="721"/>
    <w:next w:val="721"/>
    <w:link w:val="75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5">
    <w:name w:val="Heading 4"/>
    <w:basedOn w:val="721"/>
    <w:next w:val="721"/>
    <w:link w:val="75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6">
    <w:name w:val="Heading 5"/>
    <w:basedOn w:val="721"/>
    <w:next w:val="721"/>
    <w:link w:val="75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7">
    <w:name w:val="Heading 6"/>
    <w:basedOn w:val="721"/>
    <w:next w:val="721"/>
    <w:link w:val="75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28">
    <w:name w:val="Heading 7"/>
    <w:basedOn w:val="721"/>
    <w:next w:val="721"/>
    <w:link w:val="75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29">
    <w:name w:val="Heading 8"/>
    <w:basedOn w:val="721"/>
    <w:next w:val="721"/>
    <w:link w:val="7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30">
    <w:name w:val="Heading 9"/>
    <w:basedOn w:val="721"/>
    <w:next w:val="721"/>
    <w:link w:val="7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1" w:default="1">
    <w:name w:val="Default Paragraph Font"/>
    <w:uiPriority w:val="1"/>
    <w:semiHidden/>
    <w:unhideWhenUsed/>
  </w:style>
  <w:style w:type="table" w:styleId="7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3" w:default="1">
    <w:name w:val="No List"/>
    <w:uiPriority w:val="99"/>
    <w:semiHidden/>
    <w:unhideWhenUsed/>
  </w:style>
  <w:style w:type="character" w:styleId="734" w:customStyle="1">
    <w:name w:val="Heading 1 Char"/>
    <w:basedOn w:val="731"/>
    <w:uiPriority w:val="9"/>
    <w:rPr>
      <w:rFonts w:ascii="Arial" w:hAnsi="Arial" w:eastAsia="Arial" w:cs="Arial"/>
      <w:sz w:val="40"/>
      <w:szCs w:val="40"/>
    </w:rPr>
  </w:style>
  <w:style w:type="character" w:styleId="735" w:customStyle="1">
    <w:name w:val="Heading 2 Char"/>
    <w:basedOn w:val="731"/>
    <w:uiPriority w:val="9"/>
    <w:rPr>
      <w:rFonts w:ascii="Arial" w:hAnsi="Arial" w:eastAsia="Arial" w:cs="Arial"/>
      <w:sz w:val="34"/>
    </w:rPr>
  </w:style>
  <w:style w:type="character" w:styleId="736" w:customStyle="1">
    <w:name w:val="Heading 3 Char"/>
    <w:basedOn w:val="731"/>
    <w:uiPriority w:val="9"/>
    <w:rPr>
      <w:rFonts w:ascii="Arial" w:hAnsi="Arial" w:eastAsia="Arial" w:cs="Arial"/>
      <w:sz w:val="30"/>
      <w:szCs w:val="30"/>
    </w:rPr>
  </w:style>
  <w:style w:type="character" w:styleId="737" w:customStyle="1">
    <w:name w:val="Heading 4 Char"/>
    <w:basedOn w:val="731"/>
    <w:uiPriority w:val="9"/>
    <w:rPr>
      <w:rFonts w:ascii="Arial" w:hAnsi="Arial" w:eastAsia="Arial" w:cs="Arial"/>
      <w:b/>
      <w:bCs/>
      <w:sz w:val="26"/>
      <w:szCs w:val="26"/>
    </w:rPr>
  </w:style>
  <w:style w:type="character" w:styleId="738" w:customStyle="1">
    <w:name w:val="Heading 5 Char"/>
    <w:basedOn w:val="731"/>
    <w:uiPriority w:val="9"/>
    <w:rPr>
      <w:rFonts w:ascii="Arial" w:hAnsi="Arial" w:eastAsia="Arial" w:cs="Arial"/>
      <w:b/>
      <w:bCs/>
      <w:sz w:val="24"/>
      <w:szCs w:val="24"/>
    </w:rPr>
  </w:style>
  <w:style w:type="character" w:styleId="739" w:customStyle="1">
    <w:name w:val="Heading 6 Char"/>
    <w:basedOn w:val="731"/>
    <w:uiPriority w:val="9"/>
    <w:rPr>
      <w:rFonts w:ascii="Arial" w:hAnsi="Arial" w:eastAsia="Arial" w:cs="Arial"/>
      <w:b/>
      <w:bCs/>
      <w:sz w:val="22"/>
      <w:szCs w:val="22"/>
    </w:rPr>
  </w:style>
  <w:style w:type="character" w:styleId="740" w:customStyle="1">
    <w:name w:val="Heading 7 Char"/>
    <w:basedOn w:val="7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1" w:customStyle="1">
    <w:name w:val="Heading 8 Char"/>
    <w:basedOn w:val="731"/>
    <w:uiPriority w:val="9"/>
    <w:rPr>
      <w:rFonts w:ascii="Arial" w:hAnsi="Arial" w:eastAsia="Arial" w:cs="Arial"/>
      <w:i/>
      <w:iCs/>
      <w:sz w:val="22"/>
      <w:szCs w:val="22"/>
    </w:rPr>
  </w:style>
  <w:style w:type="character" w:styleId="742" w:customStyle="1">
    <w:name w:val="Heading 9 Char"/>
    <w:basedOn w:val="731"/>
    <w:uiPriority w:val="9"/>
    <w:rPr>
      <w:rFonts w:ascii="Arial" w:hAnsi="Arial" w:eastAsia="Arial" w:cs="Arial"/>
      <w:i/>
      <w:iCs/>
      <w:sz w:val="21"/>
      <w:szCs w:val="21"/>
    </w:rPr>
  </w:style>
  <w:style w:type="character" w:styleId="743" w:customStyle="1">
    <w:name w:val="Title Char"/>
    <w:basedOn w:val="731"/>
    <w:uiPriority w:val="10"/>
    <w:rPr>
      <w:sz w:val="48"/>
      <w:szCs w:val="48"/>
    </w:rPr>
  </w:style>
  <w:style w:type="character" w:styleId="744" w:customStyle="1">
    <w:name w:val="Subtitle Char"/>
    <w:basedOn w:val="731"/>
    <w:uiPriority w:val="11"/>
    <w:rPr>
      <w:sz w:val="24"/>
      <w:szCs w:val="24"/>
    </w:rPr>
  </w:style>
  <w:style w:type="character" w:styleId="745" w:customStyle="1">
    <w:name w:val="Quote Char"/>
    <w:uiPriority w:val="29"/>
    <w:rPr>
      <w:i/>
    </w:rPr>
  </w:style>
  <w:style w:type="character" w:styleId="746" w:customStyle="1">
    <w:name w:val="Intense Quote Char"/>
    <w:uiPriority w:val="30"/>
    <w:rPr>
      <w:i/>
    </w:rPr>
  </w:style>
  <w:style w:type="character" w:styleId="747" w:customStyle="1">
    <w:name w:val="Caption Char"/>
    <w:basedOn w:val="731"/>
    <w:uiPriority w:val="35"/>
    <w:rPr>
      <w:b/>
      <w:bCs/>
      <w:color w:val="5b9bd5" w:themeColor="accent1"/>
      <w:sz w:val="18"/>
      <w:szCs w:val="18"/>
    </w:rPr>
  </w:style>
  <w:style w:type="character" w:styleId="748" w:customStyle="1">
    <w:name w:val="Footnote Text Char"/>
    <w:uiPriority w:val="99"/>
    <w:rPr>
      <w:sz w:val="18"/>
    </w:rPr>
  </w:style>
  <w:style w:type="character" w:styleId="749" w:customStyle="1">
    <w:name w:val="Endnote Text Char"/>
    <w:uiPriority w:val="99"/>
    <w:rPr>
      <w:sz w:val="20"/>
    </w:rPr>
  </w:style>
  <w:style w:type="character" w:styleId="750" w:customStyle="1">
    <w:name w:val="Заголовок 1 Знак"/>
    <w:basedOn w:val="731"/>
    <w:link w:val="722"/>
    <w:uiPriority w:val="9"/>
    <w:rPr>
      <w:rFonts w:ascii="Arial" w:hAnsi="Arial" w:eastAsia="Arial" w:cs="Arial"/>
      <w:sz w:val="40"/>
      <w:szCs w:val="40"/>
    </w:rPr>
  </w:style>
  <w:style w:type="character" w:styleId="751" w:customStyle="1">
    <w:name w:val="Заголовок 2 Знак"/>
    <w:basedOn w:val="731"/>
    <w:link w:val="723"/>
    <w:uiPriority w:val="9"/>
    <w:rPr>
      <w:rFonts w:ascii="Arial" w:hAnsi="Arial" w:eastAsia="Arial" w:cs="Arial"/>
      <w:sz w:val="34"/>
    </w:rPr>
  </w:style>
  <w:style w:type="character" w:styleId="752" w:customStyle="1">
    <w:name w:val="Заголовок 3 Знак"/>
    <w:basedOn w:val="731"/>
    <w:link w:val="724"/>
    <w:uiPriority w:val="9"/>
    <w:rPr>
      <w:rFonts w:ascii="Arial" w:hAnsi="Arial" w:eastAsia="Arial" w:cs="Arial"/>
      <w:sz w:val="30"/>
      <w:szCs w:val="30"/>
    </w:rPr>
  </w:style>
  <w:style w:type="character" w:styleId="753" w:customStyle="1">
    <w:name w:val="Заголовок 4 Знак"/>
    <w:basedOn w:val="731"/>
    <w:link w:val="725"/>
    <w:uiPriority w:val="9"/>
    <w:rPr>
      <w:rFonts w:ascii="Arial" w:hAnsi="Arial" w:eastAsia="Arial" w:cs="Arial"/>
      <w:b/>
      <w:bCs/>
      <w:sz w:val="26"/>
      <w:szCs w:val="26"/>
    </w:rPr>
  </w:style>
  <w:style w:type="character" w:styleId="754" w:customStyle="1">
    <w:name w:val="Заголовок 5 Знак"/>
    <w:basedOn w:val="731"/>
    <w:link w:val="726"/>
    <w:uiPriority w:val="9"/>
    <w:rPr>
      <w:rFonts w:ascii="Arial" w:hAnsi="Arial" w:eastAsia="Arial" w:cs="Arial"/>
      <w:b/>
      <w:bCs/>
      <w:sz w:val="24"/>
      <w:szCs w:val="24"/>
    </w:rPr>
  </w:style>
  <w:style w:type="character" w:styleId="755" w:customStyle="1">
    <w:name w:val="Заголовок 6 Знак"/>
    <w:basedOn w:val="731"/>
    <w:link w:val="727"/>
    <w:uiPriority w:val="9"/>
    <w:rPr>
      <w:rFonts w:ascii="Arial" w:hAnsi="Arial" w:eastAsia="Arial" w:cs="Arial"/>
      <w:b/>
      <w:bCs/>
      <w:sz w:val="22"/>
      <w:szCs w:val="22"/>
    </w:rPr>
  </w:style>
  <w:style w:type="character" w:styleId="756" w:customStyle="1">
    <w:name w:val="Заголовок 7 Знак"/>
    <w:basedOn w:val="731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7" w:customStyle="1">
    <w:name w:val="Заголовок 8 Знак"/>
    <w:basedOn w:val="731"/>
    <w:link w:val="729"/>
    <w:uiPriority w:val="9"/>
    <w:rPr>
      <w:rFonts w:ascii="Arial" w:hAnsi="Arial" w:eastAsia="Arial" w:cs="Arial"/>
      <w:i/>
      <w:iCs/>
      <w:sz w:val="22"/>
      <w:szCs w:val="22"/>
    </w:rPr>
  </w:style>
  <w:style w:type="character" w:styleId="758" w:customStyle="1">
    <w:name w:val="Заголовок 9 Знак"/>
    <w:basedOn w:val="731"/>
    <w:link w:val="730"/>
    <w:uiPriority w:val="9"/>
    <w:rPr>
      <w:rFonts w:ascii="Arial" w:hAnsi="Arial" w:eastAsia="Arial" w:cs="Arial"/>
      <w:i/>
      <w:iCs/>
      <w:sz w:val="21"/>
      <w:szCs w:val="21"/>
    </w:rPr>
  </w:style>
  <w:style w:type="paragraph" w:styleId="759">
    <w:name w:val="Title"/>
    <w:basedOn w:val="721"/>
    <w:next w:val="721"/>
    <w:link w:val="76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0" w:customStyle="1">
    <w:name w:val="Название Знак"/>
    <w:basedOn w:val="731"/>
    <w:link w:val="759"/>
    <w:uiPriority w:val="10"/>
    <w:rPr>
      <w:sz w:val="48"/>
      <w:szCs w:val="48"/>
    </w:rPr>
  </w:style>
  <w:style w:type="paragraph" w:styleId="761">
    <w:name w:val="Subtitle"/>
    <w:basedOn w:val="721"/>
    <w:next w:val="721"/>
    <w:link w:val="762"/>
    <w:uiPriority w:val="11"/>
    <w:qFormat/>
    <w:pPr>
      <w:spacing w:before="200" w:after="200"/>
    </w:pPr>
    <w:rPr>
      <w:sz w:val="24"/>
      <w:szCs w:val="24"/>
    </w:rPr>
  </w:style>
  <w:style w:type="character" w:styleId="762" w:customStyle="1">
    <w:name w:val="Подзаголовок Знак"/>
    <w:basedOn w:val="731"/>
    <w:link w:val="761"/>
    <w:uiPriority w:val="11"/>
    <w:rPr>
      <w:sz w:val="24"/>
      <w:szCs w:val="24"/>
    </w:rPr>
  </w:style>
  <w:style w:type="paragraph" w:styleId="763">
    <w:name w:val="Quote"/>
    <w:basedOn w:val="721"/>
    <w:next w:val="721"/>
    <w:link w:val="764"/>
    <w:uiPriority w:val="29"/>
    <w:qFormat/>
    <w:pPr>
      <w:ind w:left="720" w:right="720"/>
    </w:pPr>
    <w:rPr>
      <w:i/>
    </w:rPr>
  </w:style>
  <w:style w:type="character" w:styleId="764" w:customStyle="1">
    <w:name w:val="Цитата 2 Знак"/>
    <w:link w:val="763"/>
    <w:uiPriority w:val="29"/>
    <w:rPr>
      <w:i/>
    </w:rPr>
  </w:style>
  <w:style w:type="paragraph" w:styleId="765">
    <w:name w:val="Intense Quote"/>
    <w:basedOn w:val="721"/>
    <w:next w:val="721"/>
    <w:link w:val="76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6" w:customStyle="1">
    <w:name w:val="Выделенная цитата Знак"/>
    <w:link w:val="765"/>
    <w:uiPriority w:val="30"/>
    <w:rPr>
      <w:i/>
    </w:rPr>
  </w:style>
  <w:style w:type="character" w:styleId="767" w:customStyle="1">
    <w:name w:val="Header Char"/>
    <w:basedOn w:val="731"/>
    <w:uiPriority w:val="99"/>
  </w:style>
  <w:style w:type="character" w:styleId="768" w:customStyle="1">
    <w:name w:val="Footer Char"/>
    <w:basedOn w:val="731"/>
    <w:uiPriority w:val="99"/>
  </w:style>
  <w:style w:type="paragraph" w:styleId="769">
    <w:name w:val="Caption"/>
    <w:basedOn w:val="721"/>
    <w:next w:val="721"/>
    <w:link w:val="77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70" w:customStyle="1">
    <w:name w:val="Название объекта Знак"/>
    <w:basedOn w:val="731"/>
    <w:link w:val="769"/>
    <w:uiPriority w:val="35"/>
    <w:rPr>
      <w:b/>
      <w:bCs/>
      <w:color w:val="5b9bd5" w:themeColor="accent1"/>
      <w:sz w:val="18"/>
      <w:szCs w:val="18"/>
    </w:rPr>
  </w:style>
  <w:style w:type="table" w:styleId="771" w:customStyle="1">
    <w:name w:val="Table Grid Light"/>
    <w:basedOn w:val="73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2">
    <w:name w:val="Plain Table 1"/>
    <w:basedOn w:val="73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2"/>
    <w:basedOn w:val="73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3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5">
    <w:name w:val="Plain Table 4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Plain Table 5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7">
    <w:name w:val="Grid Table 1 Light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4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9" w:customStyle="1">
    <w:name w:val="Grid Table 4 - Accent 1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00" w:customStyle="1">
    <w:name w:val="Grid Table 4 - Accent 2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1" w:customStyle="1">
    <w:name w:val="Grid Table 4 - Accent 3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2" w:customStyle="1">
    <w:name w:val="Grid Table 4 - Accent 4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3" w:customStyle="1">
    <w:name w:val="Grid Table 4 - Accent 5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04" w:customStyle="1">
    <w:name w:val="Grid Table 4 - Accent 6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5">
    <w:name w:val="Grid Table 5 Dark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2">
    <w:name w:val="Grid Table 6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3" w:customStyle="1">
    <w:name w:val="Grid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14" w:customStyle="1">
    <w:name w:val="Grid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5" w:customStyle="1">
    <w:name w:val="Grid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6" w:customStyle="1">
    <w:name w:val="Grid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7" w:customStyle="1">
    <w:name w:val="Grid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8" w:customStyle="1">
    <w:name w:val="Grid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9">
    <w:name w:val="Grid Table 7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1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2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3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4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5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6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0">
    <w:name w:val="List Table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5 Dark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>
    <w:name w:val="List Table 6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2" w:customStyle="1">
    <w:name w:val="List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63" w:customStyle="1">
    <w:name w:val="List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4" w:customStyle="1">
    <w:name w:val="List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5" w:customStyle="1">
    <w:name w:val="List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6" w:customStyle="1">
    <w:name w:val="List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67" w:customStyle="1">
    <w:name w:val="List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8">
    <w:name w:val="List Table 7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ned - Accent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6" w:customStyle="1">
    <w:name w:val="Lined - Accent 1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7" w:customStyle="1">
    <w:name w:val="Lined - Accent 2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8" w:customStyle="1">
    <w:name w:val="Lined - Accent 3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9" w:customStyle="1">
    <w:name w:val="Lined - Accent 4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0" w:customStyle="1">
    <w:name w:val="Lined - Accent 5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1" w:customStyle="1">
    <w:name w:val="Lined - Accent 6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2" w:customStyle="1">
    <w:name w:val="Bordered &amp; Lined - Accent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3" w:customStyle="1">
    <w:name w:val="Bordered &amp; Lined - Accent 1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4" w:customStyle="1">
    <w:name w:val="Bordered &amp; Lined - Accent 2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5" w:customStyle="1">
    <w:name w:val="Bordered &amp; Lined - Accent 3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6" w:customStyle="1">
    <w:name w:val="Bordered &amp; Lined - Accent 4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7" w:customStyle="1">
    <w:name w:val="Bordered &amp; Lined - Accent 5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8" w:customStyle="1">
    <w:name w:val="Bordered &amp; Lined - Accent 6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9" w:customStyle="1">
    <w:name w:val="Bordered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0" w:customStyle="1">
    <w:name w:val="Bordered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1" w:customStyle="1">
    <w:name w:val="Bordered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2" w:customStyle="1">
    <w:name w:val="Bordered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3" w:customStyle="1">
    <w:name w:val="Bordered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4" w:customStyle="1">
    <w:name w:val="Bordered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95" w:customStyle="1">
    <w:name w:val="Bordered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6">
    <w:name w:val="Hyperlink"/>
    <w:uiPriority w:val="99"/>
    <w:unhideWhenUsed/>
    <w:rPr>
      <w:color w:val="0563c1" w:themeColor="hyperlink"/>
      <w:u w:val="single"/>
    </w:rPr>
  </w:style>
  <w:style w:type="paragraph" w:styleId="897">
    <w:name w:val="footnote text"/>
    <w:basedOn w:val="721"/>
    <w:link w:val="898"/>
    <w:uiPriority w:val="99"/>
    <w:semiHidden/>
    <w:unhideWhenUsed/>
    <w:pPr>
      <w:spacing w:after="40" w:line="240" w:lineRule="auto"/>
    </w:pPr>
    <w:rPr>
      <w:sz w:val="18"/>
    </w:rPr>
  </w:style>
  <w:style w:type="character" w:styleId="898" w:customStyle="1">
    <w:name w:val="Текст сноски Знак"/>
    <w:link w:val="897"/>
    <w:uiPriority w:val="99"/>
    <w:rPr>
      <w:sz w:val="18"/>
    </w:rPr>
  </w:style>
  <w:style w:type="character" w:styleId="899">
    <w:name w:val="footnote reference"/>
    <w:basedOn w:val="731"/>
    <w:uiPriority w:val="99"/>
    <w:unhideWhenUsed/>
    <w:rPr>
      <w:vertAlign w:val="superscript"/>
    </w:rPr>
  </w:style>
  <w:style w:type="paragraph" w:styleId="900">
    <w:name w:val="endnote text"/>
    <w:basedOn w:val="721"/>
    <w:link w:val="901"/>
    <w:uiPriority w:val="99"/>
    <w:semiHidden/>
    <w:unhideWhenUsed/>
    <w:pPr>
      <w:spacing w:after="0" w:line="240" w:lineRule="auto"/>
    </w:pPr>
    <w:rPr>
      <w:sz w:val="20"/>
    </w:rPr>
  </w:style>
  <w:style w:type="character" w:styleId="901" w:customStyle="1">
    <w:name w:val="Текст концевой сноски Знак"/>
    <w:link w:val="900"/>
    <w:uiPriority w:val="99"/>
    <w:rPr>
      <w:sz w:val="20"/>
    </w:rPr>
  </w:style>
  <w:style w:type="character" w:styleId="902">
    <w:name w:val="endnote reference"/>
    <w:basedOn w:val="731"/>
    <w:uiPriority w:val="99"/>
    <w:semiHidden/>
    <w:unhideWhenUsed/>
    <w:rPr>
      <w:vertAlign w:val="superscript"/>
    </w:rPr>
  </w:style>
  <w:style w:type="paragraph" w:styleId="903">
    <w:name w:val="toc 1"/>
    <w:basedOn w:val="721"/>
    <w:next w:val="721"/>
    <w:uiPriority w:val="39"/>
    <w:unhideWhenUsed/>
    <w:pPr>
      <w:spacing w:after="57"/>
    </w:pPr>
  </w:style>
  <w:style w:type="paragraph" w:styleId="904">
    <w:name w:val="toc 2"/>
    <w:basedOn w:val="721"/>
    <w:next w:val="721"/>
    <w:uiPriority w:val="39"/>
    <w:unhideWhenUsed/>
    <w:pPr>
      <w:ind w:left="283"/>
      <w:spacing w:after="57"/>
    </w:pPr>
  </w:style>
  <w:style w:type="paragraph" w:styleId="905">
    <w:name w:val="toc 3"/>
    <w:basedOn w:val="721"/>
    <w:next w:val="721"/>
    <w:uiPriority w:val="39"/>
    <w:unhideWhenUsed/>
    <w:pPr>
      <w:ind w:left="567"/>
      <w:spacing w:after="57"/>
    </w:pPr>
  </w:style>
  <w:style w:type="paragraph" w:styleId="906">
    <w:name w:val="toc 4"/>
    <w:basedOn w:val="721"/>
    <w:next w:val="721"/>
    <w:uiPriority w:val="39"/>
    <w:unhideWhenUsed/>
    <w:pPr>
      <w:ind w:left="850"/>
      <w:spacing w:after="57"/>
    </w:pPr>
  </w:style>
  <w:style w:type="paragraph" w:styleId="907">
    <w:name w:val="toc 5"/>
    <w:basedOn w:val="721"/>
    <w:next w:val="721"/>
    <w:uiPriority w:val="39"/>
    <w:unhideWhenUsed/>
    <w:pPr>
      <w:ind w:left="1134"/>
      <w:spacing w:after="57"/>
    </w:pPr>
  </w:style>
  <w:style w:type="paragraph" w:styleId="908">
    <w:name w:val="toc 6"/>
    <w:basedOn w:val="721"/>
    <w:next w:val="721"/>
    <w:uiPriority w:val="39"/>
    <w:unhideWhenUsed/>
    <w:pPr>
      <w:ind w:left="1417"/>
      <w:spacing w:after="57"/>
    </w:pPr>
  </w:style>
  <w:style w:type="paragraph" w:styleId="909">
    <w:name w:val="toc 7"/>
    <w:basedOn w:val="721"/>
    <w:next w:val="721"/>
    <w:uiPriority w:val="39"/>
    <w:unhideWhenUsed/>
    <w:pPr>
      <w:ind w:left="1701"/>
      <w:spacing w:after="57"/>
    </w:pPr>
  </w:style>
  <w:style w:type="paragraph" w:styleId="910">
    <w:name w:val="toc 8"/>
    <w:basedOn w:val="721"/>
    <w:next w:val="721"/>
    <w:uiPriority w:val="39"/>
    <w:unhideWhenUsed/>
    <w:pPr>
      <w:ind w:left="1984"/>
      <w:spacing w:after="57"/>
    </w:pPr>
  </w:style>
  <w:style w:type="paragraph" w:styleId="911">
    <w:name w:val="toc 9"/>
    <w:basedOn w:val="721"/>
    <w:next w:val="721"/>
    <w:uiPriority w:val="39"/>
    <w:unhideWhenUsed/>
    <w:pPr>
      <w:ind w:left="2268"/>
      <w:spacing w:after="57"/>
    </w:pPr>
  </w:style>
  <w:style w:type="paragraph" w:styleId="912">
    <w:name w:val="TOC Heading"/>
    <w:uiPriority w:val="39"/>
    <w:unhideWhenUsed/>
  </w:style>
  <w:style w:type="paragraph" w:styleId="913">
    <w:name w:val="table of figures"/>
    <w:basedOn w:val="721"/>
    <w:next w:val="721"/>
    <w:uiPriority w:val="99"/>
    <w:unhideWhenUsed/>
    <w:pPr>
      <w:spacing w:after="0"/>
    </w:pPr>
  </w:style>
  <w:style w:type="paragraph" w:styleId="914">
    <w:name w:val="Header"/>
    <w:basedOn w:val="721"/>
    <w:link w:val="91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5" w:customStyle="1">
    <w:name w:val="Верхний колонтитул Знак"/>
    <w:basedOn w:val="731"/>
    <w:link w:val="914"/>
    <w:uiPriority w:val="99"/>
  </w:style>
  <w:style w:type="paragraph" w:styleId="916">
    <w:name w:val="Footer"/>
    <w:basedOn w:val="721"/>
    <w:link w:val="91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7" w:customStyle="1">
    <w:name w:val="Нижний колонтитул Знак"/>
    <w:basedOn w:val="731"/>
    <w:link w:val="916"/>
    <w:uiPriority w:val="99"/>
  </w:style>
  <w:style w:type="character" w:styleId="918">
    <w:name w:val="page number"/>
    <w:uiPriority w:val="99"/>
    <w:rPr>
      <w:rFonts w:cs="Times New Roman"/>
    </w:rPr>
  </w:style>
  <w:style w:type="paragraph" w:styleId="919">
    <w:name w:val="Balloon Text"/>
    <w:basedOn w:val="721"/>
    <w:link w:val="92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20" w:customStyle="1">
    <w:name w:val="Текст выноски Знак"/>
    <w:basedOn w:val="731"/>
    <w:link w:val="919"/>
    <w:uiPriority w:val="99"/>
    <w:semiHidden/>
    <w:rPr>
      <w:rFonts w:ascii="Segoe UI" w:hAnsi="Segoe UI" w:cs="Segoe UI"/>
      <w:sz w:val="18"/>
      <w:szCs w:val="18"/>
    </w:rPr>
  </w:style>
  <w:style w:type="paragraph" w:styleId="921">
    <w:name w:val="No Spacing"/>
    <w:link w:val="922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922" w:customStyle="1">
    <w:name w:val="Без интервала Знак"/>
    <w:link w:val="921"/>
    <w:uiPriority w:val="1"/>
    <w:rPr>
      <w:rFonts w:ascii="Calibri" w:hAnsi="Calibri" w:eastAsia="Calibri" w:cs="Times New Roman"/>
    </w:rPr>
  </w:style>
  <w:style w:type="paragraph" w:styleId="923">
    <w:name w:val="List Paragraph"/>
    <w:basedOn w:val="721"/>
    <w:uiPriority w:val="34"/>
    <w:qFormat/>
    <w:pPr>
      <w:contextualSpacing/>
      <w:ind w:left="720"/>
    </w:pPr>
  </w:style>
  <w:style w:type="paragraph" w:styleId="924" w:customStyle="1">
    <w:name w:val="Block Quotation"/>
    <w:basedOn w:val="721"/>
    <w:pPr>
      <w:ind w:left="567" w:right="-2" w:firstLine="851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table" w:styleId="925">
    <w:name w:val="Table Grid"/>
    <w:basedOn w:val="732"/>
    <w:uiPriority w:val="59"/>
    <w:pPr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6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927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character" w:styleId="928">
    <w:name w:val="annotation reference"/>
    <w:basedOn w:val="731"/>
    <w:uiPriority w:val="99"/>
    <w:semiHidden/>
    <w:unhideWhenUsed/>
    <w:rPr>
      <w:sz w:val="16"/>
      <w:szCs w:val="16"/>
    </w:rPr>
  </w:style>
  <w:style w:type="paragraph" w:styleId="929">
    <w:name w:val="annotation text"/>
    <w:basedOn w:val="721"/>
    <w:link w:val="93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30" w:customStyle="1">
    <w:name w:val="Текст примечания Знак"/>
    <w:basedOn w:val="731"/>
    <w:link w:val="929"/>
    <w:uiPriority w:val="99"/>
    <w:semiHidden/>
    <w:rPr>
      <w:sz w:val="20"/>
      <w:szCs w:val="20"/>
    </w:rPr>
  </w:style>
  <w:style w:type="paragraph" w:styleId="931">
    <w:name w:val="annotation subject"/>
    <w:basedOn w:val="929"/>
    <w:next w:val="929"/>
    <w:link w:val="932"/>
    <w:uiPriority w:val="99"/>
    <w:semiHidden/>
    <w:unhideWhenUsed/>
    <w:rPr>
      <w:b/>
      <w:bCs/>
    </w:rPr>
  </w:style>
  <w:style w:type="character" w:styleId="932" w:customStyle="1">
    <w:name w:val="Тема примечания Знак"/>
    <w:basedOn w:val="930"/>
    <w:link w:val="931"/>
    <w:uiPriority w:val="99"/>
    <w:semiHidden/>
    <w:rPr>
      <w:b/>
      <w:bCs/>
      <w:sz w:val="20"/>
      <w:szCs w:val="20"/>
    </w:rPr>
  </w:style>
  <w:style w:type="paragraph" w:styleId="933">
    <w:name w:val="Normal (Web)"/>
    <w:basedOn w:val="721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F5A09-9B05-4612-8A43-495EB72A7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Галентова Анна Юрьевна</dc:creator>
  <cp:keywords/>
  <dc:description/>
  <cp:lastModifiedBy>suo</cp:lastModifiedBy>
  <cp:revision>5</cp:revision>
  <dcterms:created xsi:type="dcterms:W3CDTF">2025-10-24T13:10:00Z</dcterms:created>
  <dcterms:modified xsi:type="dcterms:W3CDTF">2025-10-31T05:00:47Z</dcterms:modified>
</cp:coreProperties>
</file>